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6"/>
        <w:tblW w:w="0" w:type="auto"/>
        <w:tblLayout w:type="fixed"/>
        <w:tblLook w:val="0000" w:firstRow="0" w:lastRow="0" w:firstColumn="0" w:lastColumn="0" w:noHBand="0" w:noVBand="0"/>
      </w:tblPr>
      <w:tblGrid>
        <w:gridCol w:w="7420"/>
        <w:gridCol w:w="2384"/>
      </w:tblGrid>
      <w:tr w:rsidR="0013247C" w:rsidRPr="0013247C" w:rsidTr="00242D32">
        <w:trPr>
          <w:trHeight w:val="679"/>
        </w:trPr>
        <w:tc>
          <w:tcPr>
            <w:tcW w:w="7420" w:type="dxa"/>
          </w:tcPr>
          <w:p w:rsidR="0013247C" w:rsidRPr="0013247C" w:rsidRDefault="0013247C" w:rsidP="0013247C">
            <w:pPr>
              <w:adjustRightInd w:val="0"/>
              <w:snapToGrid w:val="0"/>
              <w:spacing w:after="156" w:line="960" w:lineRule="exact"/>
              <w:jc w:val="distribute"/>
              <w:rPr>
                <w:rFonts w:ascii="方正小标宋简体" w:eastAsia="方正小标宋简体" w:hAnsi="宋体" w:cs="Times New Roman" w:hint="eastAsia"/>
                <w:color w:val="FF0000"/>
                <w:spacing w:val="-6"/>
                <w:sz w:val="56"/>
                <w:szCs w:val="56"/>
              </w:rPr>
            </w:pPr>
            <w:r w:rsidRPr="0013247C">
              <w:rPr>
                <w:rFonts w:ascii="方正小标宋简体" w:eastAsia="方正小标宋简体" w:hAnsi="宋体" w:cs="Times New Roman"/>
                <w:noProof/>
                <w:color w:val="FF0000"/>
                <w:spacing w:val="6"/>
                <w:sz w:val="86"/>
                <w:szCs w:val="8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4624070</wp:posOffset>
                      </wp:positionH>
                      <wp:positionV relativeFrom="paragraph">
                        <wp:posOffset>603885</wp:posOffset>
                      </wp:positionV>
                      <wp:extent cx="1537335" cy="955040"/>
                      <wp:effectExtent l="12700" t="6985" r="12065" b="9525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95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47C" w:rsidRDefault="0013247C" w:rsidP="0013247C">
                                  <w:pPr>
                                    <w:spacing w:after="156" w:line="1200" w:lineRule="exact"/>
                                    <w:rPr>
                                      <w:rFonts w:ascii="方正小标宋简体" w:eastAsia="方正小标宋简体"/>
                                      <w:color w:val="FF0000"/>
                                      <w:sz w:val="86"/>
                                      <w:szCs w:val="86"/>
                                    </w:rPr>
                                  </w:pPr>
                                  <w:r>
                                    <w:rPr>
                                      <w:rFonts w:ascii="方正小标宋简体" w:eastAsia="方正小标宋简体" w:hint="eastAsia"/>
                                      <w:color w:val="FF0000"/>
                                      <w:sz w:val="86"/>
                                      <w:szCs w:val="86"/>
                                    </w:rPr>
                                    <w:t>文件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364.1pt;margin-top:47.55pt;width:121.05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" strokecolor="white">
                      <v:textbox>
                        <w:txbxContent>
                          <w:p w:rsidR="0013247C" w:rsidRDefault="0013247C" w:rsidP="0013247C">
                            <w:pPr>
                              <w:spacing w:after="156" w:line="1200" w:lineRule="exact"/>
                              <w:rPr>
                                <w:rFonts w:ascii="方正小标宋简体" w:eastAsia="方正小标宋简体"/>
                                <w:color w:val="FF0000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z w:val="86"/>
                                <w:szCs w:val="86"/>
                              </w:rPr>
                              <w:t>文件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247C">
              <w:rPr>
                <w:rFonts w:ascii="方正小标宋简体" w:eastAsia="方正小标宋简体" w:hAnsi="宋体" w:cs="Times New Roman" w:hint="eastAsia"/>
                <w:color w:val="FF0000"/>
                <w:spacing w:val="-6"/>
                <w:sz w:val="56"/>
                <w:szCs w:val="56"/>
              </w:rPr>
              <w:t>芜湖市医疗保障局</w:t>
            </w:r>
          </w:p>
        </w:tc>
        <w:tc>
          <w:tcPr>
            <w:tcW w:w="2384" w:type="dxa"/>
            <w:vMerge w:val="restart"/>
            <w:vAlign w:val="center"/>
          </w:tcPr>
          <w:p w:rsidR="0013247C" w:rsidRPr="0013247C" w:rsidRDefault="0013247C" w:rsidP="0013247C">
            <w:pPr>
              <w:adjustRightInd w:val="0"/>
              <w:snapToGrid w:val="0"/>
              <w:spacing w:after="156" w:line="960" w:lineRule="exact"/>
              <w:rPr>
                <w:rFonts w:ascii="方正小标宋简体" w:eastAsia="方正小标宋简体" w:hAnsi="宋体" w:cs="Times New Roman"/>
                <w:color w:val="FF0000"/>
                <w:spacing w:val="6"/>
                <w:sz w:val="86"/>
                <w:szCs w:val="86"/>
              </w:rPr>
            </w:pPr>
          </w:p>
        </w:tc>
      </w:tr>
      <w:tr w:rsidR="0013247C" w:rsidRPr="0013247C" w:rsidTr="00242D32">
        <w:trPr>
          <w:trHeight w:val="626"/>
        </w:trPr>
        <w:tc>
          <w:tcPr>
            <w:tcW w:w="7420" w:type="dxa"/>
          </w:tcPr>
          <w:p w:rsidR="0013247C" w:rsidRPr="0013247C" w:rsidRDefault="0013247C" w:rsidP="0013247C">
            <w:pPr>
              <w:adjustRightInd w:val="0"/>
              <w:snapToGrid w:val="0"/>
              <w:spacing w:after="156" w:line="960" w:lineRule="exact"/>
              <w:jc w:val="distribute"/>
              <w:rPr>
                <w:rFonts w:ascii="方正小标宋简体" w:eastAsia="方正小标宋简体" w:hAnsi="宋体" w:cs="Times New Roman" w:hint="eastAsia"/>
                <w:color w:val="FF0000"/>
                <w:spacing w:val="-6"/>
                <w:sz w:val="56"/>
                <w:szCs w:val="56"/>
              </w:rPr>
            </w:pPr>
            <w:r w:rsidRPr="0013247C">
              <w:rPr>
                <w:rFonts w:ascii="方正小标宋简体" w:eastAsia="方正小标宋简体" w:hAnsi="宋体" w:cs="Times New Roman" w:hint="eastAsia"/>
                <w:color w:val="FF0000"/>
                <w:spacing w:val="-6"/>
                <w:sz w:val="56"/>
                <w:szCs w:val="56"/>
              </w:rPr>
              <w:t>芜湖市财政局</w:t>
            </w:r>
          </w:p>
        </w:tc>
        <w:tc>
          <w:tcPr>
            <w:tcW w:w="2384" w:type="dxa"/>
            <w:vMerge/>
          </w:tcPr>
          <w:p w:rsidR="0013247C" w:rsidRPr="0013247C" w:rsidRDefault="0013247C" w:rsidP="0013247C">
            <w:pPr>
              <w:adjustRightInd w:val="0"/>
              <w:snapToGrid w:val="0"/>
              <w:spacing w:after="156" w:line="960" w:lineRule="exact"/>
              <w:rPr>
                <w:rFonts w:ascii="方正小标宋简体" w:eastAsia="方正小标宋简体" w:hAnsi="宋体" w:cs="Times New Roman"/>
                <w:color w:val="FF0000"/>
                <w:spacing w:val="6"/>
                <w:sz w:val="44"/>
                <w:szCs w:val="44"/>
              </w:rPr>
            </w:pPr>
          </w:p>
        </w:tc>
      </w:tr>
      <w:tr w:rsidR="0013247C" w:rsidRPr="0013247C" w:rsidTr="00242D32">
        <w:trPr>
          <w:trHeight w:val="626"/>
        </w:trPr>
        <w:tc>
          <w:tcPr>
            <w:tcW w:w="7420" w:type="dxa"/>
          </w:tcPr>
          <w:p w:rsidR="0013247C" w:rsidRPr="0013247C" w:rsidRDefault="0013247C" w:rsidP="0013247C">
            <w:pPr>
              <w:adjustRightInd w:val="0"/>
              <w:snapToGrid w:val="0"/>
              <w:spacing w:after="156" w:line="960" w:lineRule="exact"/>
              <w:jc w:val="distribute"/>
              <w:rPr>
                <w:rFonts w:ascii="方正小标宋简体" w:eastAsia="方正小标宋简体" w:hAnsi="宋体" w:cs="Times New Roman"/>
                <w:color w:val="FF0000"/>
                <w:spacing w:val="-6"/>
                <w:sz w:val="56"/>
                <w:szCs w:val="56"/>
              </w:rPr>
            </w:pPr>
            <w:r w:rsidRPr="0013247C">
              <w:rPr>
                <w:rFonts w:ascii="方正小标宋简体" w:eastAsia="方正小标宋简体" w:hAnsi="宋体" w:cs="Times New Roman" w:hint="eastAsia"/>
                <w:color w:val="FF0000"/>
                <w:spacing w:val="-6"/>
                <w:sz w:val="56"/>
                <w:szCs w:val="56"/>
              </w:rPr>
              <w:t>芜湖市卫生健康委员会</w:t>
            </w:r>
          </w:p>
        </w:tc>
        <w:tc>
          <w:tcPr>
            <w:tcW w:w="2384" w:type="dxa"/>
          </w:tcPr>
          <w:p w:rsidR="0013247C" w:rsidRPr="0013247C" w:rsidRDefault="0013247C" w:rsidP="0013247C">
            <w:pPr>
              <w:adjustRightInd w:val="0"/>
              <w:snapToGrid w:val="0"/>
              <w:spacing w:after="156" w:line="960" w:lineRule="exact"/>
              <w:rPr>
                <w:rFonts w:ascii="方正小标宋简体" w:eastAsia="方正小标宋简体" w:hAnsi="宋体" w:cs="Times New Roman"/>
                <w:color w:val="FF0000"/>
                <w:spacing w:val="6"/>
                <w:sz w:val="44"/>
                <w:szCs w:val="44"/>
              </w:rPr>
            </w:pPr>
          </w:p>
        </w:tc>
      </w:tr>
    </w:tbl>
    <w:p w:rsidR="0013247C" w:rsidRPr="0013247C" w:rsidRDefault="0013247C" w:rsidP="0013247C">
      <w:pPr>
        <w:adjustRightInd w:val="0"/>
        <w:snapToGrid w:val="0"/>
        <w:spacing w:after="156" w:line="60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 w:rsidRPr="0013247C">
        <w:rPr>
          <w:rFonts w:ascii="楷体_GB2312" w:eastAsia="楷体_GB2312" w:hAnsi="楷体_GB2312" w:cs="楷体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2689225</wp:posOffset>
                </wp:positionV>
                <wp:extent cx="5715000" cy="5080"/>
                <wp:effectExtent l="17780" t="15240" r="20320" b="1778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9551"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11.75pt" to="450.7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" strokecolor="red" strokeweight="2pt"/>
            </w:pict>
          </mc:Fallback>
        </mc:AlternateContent>
      </w:r>
      <w:r w:rsidRPr="0013247C">
        <w:rPr>
          <w:rFonts w:ascii="楷体_GB2312" w:eastAsia="楷体_GB2312" w:hAnsi="楷体_GB2312" w:cs="楷体_GB2312" w:hint="eastAsia"/>
          <w:sz w:val="32"/>
          <w:szCs w:val="32"/>
        </w:rPr>
        <w:t>芜医保〔2020〕104号</w:t>
      </w:r>
    </w:p>
    <w:p w:rsidR="0013247C" w:rsidRPr="0013247C" w:rsidRDefault="0013247C" w:rsidP="0013247C">
      <w:pPr>
        <w:spacing w:line="48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13247C" w:rsidRPr="0013247C" w:rsidRDefault="0013247C" w:rsidP="0013247C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13247C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关于调整芜湖市城镇职工医疗保险</w:t>
      </w:r>
    </w:p>
    <w:p w:rsidR="0013247C" w:rsidRPr="0013247C" w:rsidRDefault="0013247C" w:rsidP="0013247C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13247C">
        <w:rPr>
          <w:rFonts w:ascii="方正小标宋简体" w:eastAsia="方正小标宋简体" w:hAnsi="方正小标宋简体" w:cs="方正小标宋简体" w:hint="eastAsia"/>
          <w:sz w:val="44"/>
          <w:szCs w:val="44"/>
        </w:rPr>
        <w:t>门诊慢性病有关政策的通知</w:t>
      </w:r>
    </w:p>
    <w:p w:rsidR="0013247C" w:rsidRPr="0013247C" w:rsidRDefault="0013247C" w:rsidP="0013247C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3247C" w:rsidRPr="0013247C" w:rsidRDefault="0013247C" w:rsidP="0013247C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各县（市）区医保局、财政局、卫健委，经开区人社局，各有关单位：</w:t>
      </w:r>
    </w:p>
    <w:p w:rsidR="0013247C" w:rsidRPr="0013247C" w:rsidRDefault="0013247C" w:rsidP="0013247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为进一步提高我市城镇职工医疗保险参保人员医疗保障待遇，逐渐同步基本医疗保险门诊慢性病病种，结合我市医疗保险基金运行的实际情况，现就调整城镇职工医疗保险门诊慢性病政策的有关事宜通知如下：</w:t>
      </w:r>
    </w:p>
    <w:p w:rsidR="0013247C" w:rsidRPr="0013247C" w:rsidRDefault="0013247C" w:rsidP="0013247C">
      <w:pPr>
        <w:spacing w:line="520" w:lineRule="exact"/>
        <w:ind w:firstLineChars="200" w:firstLine="643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13247C">
        <w:rPr>
          <w:rFonts w:ascii="黑体" w:eastAsia="黑体" w:hAnsi="黑体" w:cs="黑体" w:hint="eastAsia"/>
          <w:b/>
          <w:bCs/>
          <w:sz w:val="32"/>
          <w:szCs w:val="32"/>
        </w:rPr>
        <w:t>一、新增门诊慢性病病种及准入标准</w:t>
      </w:r>
    </w:p>
    <w:p w:rsidR="0013247C" w:rsidRPr="0013247C" w:rsidRDefault="0013247C" w:rsidP="0013247C">
      <w:pPr>
        <w:spacing w:line="520" w:lineRule="exact"/>
        <w:ind w:left="640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13247C">
        <w:rPr>
          <w:rFonts w:ascii="黑体" w:eastAsia="黑体" w:hAnsi="黑体" w:cs="黑体" w:hint="eastAsia"/>
          <w:b/>
          <w:bCs/>
          <w:sz w:val="32"/>
          <w:szCs w:val="32"/>
        </w:rPr>
        <w:t>1、白塞氏病</w:t>
      </w:r>
    </w:p>
    <w:p w:rsidR="0013247C" w:rsidRPr="0013247C" w:rsidRDefault="0013247C" w:rsidP="0013247C">
      <w:pPr>
        <w:spacing w:line="52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准入标准：</w:t>
      </w:r>
    </w:p>
    <w:p w:rsidR="0013247C" w:rsidRPr="0013247C" w:rsidRDefault="0013247C" w:rsidP="0013247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（1）反复口腔溃疡：1年内反复发作3次。由医生观察到或患者诉说有口腔溃疡；</w:t>
      </w:r>
    </w:p>
    <w:p w:rsidR="0013247C" w:rsidRPr="0013247C" w:rsidRDefault="0013247C" w:rsidP="0013247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（2）反复外阴溃疡：由医生观察到或患者诉说外阴部有溃疡或疤痕；</w:t>
      </w:r>
    </w:p>
    <w:p w:rsidR="0013247C" w:rsidRPr="0013247C" w:rsidRDefault="0013247C" w:rsidP="0013247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（3）眼病变：前和（或）后色素膜炎、裂隙灯检查时玻</w:t>
      </w:r>
      <w:r w:rsidRPr="0013247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璃体内有细胞出现或由眼科医生观察到视网膜血管炎；</w:t>
      </w:r>
    </w:p>
    <w:p w:rsidR="0013247C" w:rsidRPr="0013247C" w:rsidRDefault="0013247C" w:rsidP="0013247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（4）皮肤病变：由医生观察到或患者诉说的结节性红斑、假性毛囊炎或丘疹性脓疱；或未服用糖皮质激素的非青春期患者出现痤疮样结节；</w:t>
      </w:r>
    </w:p>
    <w:p w:rsidR="0013247C" w:rsidRPr="0013247C" w:rsidRDefault="0013247C" w:rsidP="0013247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（5）针刺试验阳性：试验后24－48小时由医生看结果；</w:t>
      </w:r>
    </w:p>
    <w:p w:rsidR="0013247C" w:rsidRPr="0013247C" w:rsidRDefault="0013247C" w:rsidP="0013247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（6）血管表现：皮下栓塞性静脉炎、深部静脉栓塞、动脉栓塞和（或）动脉瘤；</w:t>
      </w:r>
    </w:p>
    <w:p w:rsidR="0013247C" w:rsidRPr="0013247C" w:rsidRDefault="0013247C" w:rsidP="0013247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（7）神经系统损伤：中枢神经病变。</w:t>
      </w:r>
    </w:p>
    <w:p w:rsidR="0013247C" w:rsidRPr="0013247C" w:rsidRDefault="0013247C" w:rsidP="0013247C">
      <w:pPr>
        <w:spacing w:line="52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具有1-3项中任意2项，或符合1-3项中任意1项和4-7项中的任意2项，又或同时符合全部4-7项，且提供一年来门诊或住院病史资料。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13247C">
        <w:rPr>
          <w:rFonts w:ascii="黑体" w:eastAsia="黑体" w:hAnsi="黑体" w:cs="黑体" w:hint="eastAsia"/>
          <w:b/>
          <w:bCs/>
          <w:sz w:val="32"/>
          <w:szCs w:val="32"/>
        </w:rPr>
        <w:t>2、肾病综合征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准入标准：</w:t>
      </w:r>
    </w:p>
    <w:p w:rsidR="0013247C" w:rsidRPr="0013247C" w:rsidRDefault="0013247C" w:rsidP="0013247C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（1）符合肾病综合征“三高一低”；高度浮肿、高度蛋白尿、高脂血症和低蛋白血症；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（2）尿蛋白大于3.5g/d，血浆白蛋白低于30g/L；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（3）进行肾活检，做出病理诊断。</w:t>
      </w:r>
    </w:p>
    <w:p w:rsidR="0013247C" w:rsidRPr="0013247C" w:rsidRDefault="0013247C" w:rsidP="0013247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同时符合上述条件，且提供一年来门诊或住院病史资料。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13247C">
        <w:rPr>
          <w:rFonts w:ascii="黑体" w:eastAsia="黑体" w:hAnsi="黑体" w:cs="黑体" w:hint="eastAsia"/>
          <w:b/>
          <w:bCs/>
          <w:sz w:val="32"/>
          <w:szCs w:val="32"/>
        </w:rPr>
        <w:t>3、心脏瓣膜置换术后维持治疗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准入标准：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住院行心脏瓣膜置换手术，并需术后维持治疗。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13247C">
        <w:rPr>
          <w:rFonts w:ascii="仿宋" w:eastAsia="仿宋" w:hAnsi="仿宋" w:cs="仿宋" w:hint="eastAsia"/>
          <w:b/>
          <w:bCs/>
          <w:sz w:val="32"/>
          <w:szCs w:val="32"/>
        </w:rPr>
        <w:t>4、银屑病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准入标准：</w:t>
      </w:r>
    </w:p>
    <w:p w:rsidR="0013247C" w:rsidRPr="0013247C" w:rsidRDefault="0013247C" w:rsidP="0013247C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（1）皮损常呈鳞屑性丘疹、斑块，可见薄膜现象及筛状出血现象，头皮部位皮疹可见束状毛发；</w:t>
      </w:r>
    </w:p>
    <w:p w:rsidR="0013247C" w:rsidRPr="0013247C" w:rsidRDefault="0013247C" w:rsidP="0013247C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（2）皮肤镜检查：符合各期银屑病皮肤镜下特点；</w:t>
      </w:r>
    </w:p>
    <w:p w:rsidR="0013247C" w:rsidRPr="0013247C" w:rsidRDefault="0013247C" w:rsidP="0013247C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（3）组织病理检查示表皮角化过度、角化不全。角内</w:t>
      </w:r>
    </w:p>
    <w:p w:rsidR="0013247C" w:rsidRPr="0013247C" w:rsidRDefault="0013247C" w:rsidP="0013247C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有中性多形核白细胞堆积，棘层增厚。表皮突呈规则性向下延伸，真皮乳头水肿呈棒状，乳头内血管扩张，血管周围有炎性细胞浸润。</w:t>
      </w:r>
    </w:p>
    <w:p w:rsidR="0013247C" w:rsidRPr="0013247C" w:rsidRDefault="0013247C" w:rsidP="0013247C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符合标准第1项和第2项，或符合标准第1项和第3项，且提供一年来门诊或住院病史资料。</w:t>
      </w:r>
    </w:p>
    <w:p w:rsidR="0013247C" w:rsidRPr="0013247C" w:rsidRDefault="0013247C" w:rsidP="0013247C">
      <w:pPr>
        <w:spacing w:line="520" w:lineRule="exact"/>
        <w:ind w:left="640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13247C">
        <w:rPr>
          <w:rFonts w:ascii="黑体" w:eastAsia="黑体" w:hAnsi="黑体" w:cs="黑体" w:hint="eastAsia"/>
          <w:b/>
          <w:bCs/>
          <w:sz w:val="32"/>
          <w:szCs w:val="32"/>
        </w:rPr>
        <w:t>5、硬皮病</w:t>
      </w:r>
    </w:p>
    <w:p w:rsidR="0013247C" w:rsidRPr="0013247C" w:rsidRDefault="0013247C" w:rsidP="0013247C">
      <w:pPr>
        <w:spacing w:line="52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准入标准：</w:t>
      </w:r>
    </w:p>
    <w:p w:rsidR="0013247C" w:rsidRPr="0013247C" w:rsidRDefault="0013247C" w:rsidP="0013247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（1）掌指关节近端的硬皮变化，可累及整个肢体、面部、全身及驱干；</w:t>
      </w:r>
    </w:p>
    <w:p w:rsidR="0013247C" w:rsidRPr="0013247C" w:rsidRDefault="0013247C" w:rsidP="0013247C">
      <w:pPr>
        <w:spacing w:line="52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（2）掌指关节近端的硬皮变化；</w:t>
      </w:r>
    </w:p>
    <w:p w:rsidR="0013247C" w:rsidRPr="0013247C" w:rsidRDefault="0013247C" w:rsidP="0013247C">
      <w:pPr>
        <w:spacing w:line="52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（3）手指尖有凹陷性瘢痕和指垫消失；</w:t>
      </w:r>
    </w:p>
    <w:p w:rsidR="0013247C" w:rsidRPr="0013247C" w:rsidRDefault="0013247C" w:rsidP="0013247C">
      <w:pPr>
        <w:spacing w:line="52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（4）双肺基底纤维化；</w:t>
      </w:r>
    </w:p>
    <w:p w:rsidR="0013247C" w:rsidRPr="0013247C" w:rsidRDefault="0013247C" w:rsidP="0013247C">
      <w:pPr>
        <w:spacing w:line="52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（5）雷诺现象；</w:t>
      </w:r>
    </w:p>
    <w:p w:rsidR="0013247C" w:rsidRPr="0013247C" w:rsidRDefault="0013247C" w:rsidP="0013247C">
      <w:pPr>
        <w:spacing w:line="52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（6）多发性关节炎或关节痛；</w:t>
      </w:r>
    </w:p>
    <w:p w:rsidR="0013247C" w:rsidRPr="0013247C" w:rsidRDefault="0013247C" w:rsidP="0013247C">
      <w:pPr>
        <w:spacing w:line="52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（7）食管蠕动异常；</w:t>
      </w:r>
    </w:p>
    <w:p w:rsidR="0013247C" w:rsidRPr="0013247C" w:rsidRDefault="0013247C" w:rsidP="0013247C">
      <w:pPr>
        <w:spacing w:line="52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（8）皮肤病理学胶原纤维肿胀和纤维化；</w:t>
      </w:r>
    </w:p>
    <w:p w:rsidR="0013247C" w:rsidRPr="0013247C" w:rsidRDefault="0013247C" w:rsidP="0013247C">
      <w:pPr>
        <w:spacing w:line="520" w:lineRule="exact"/>
        <w:ind w:left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（9）免疫检查ANA，抗Scl-70抗体、和着丝点抗体（ACA）</w:t>
      </w:r>
    </w:p>
    <w:p w:rsidR="0013247C" w:rsidRPr="0013247C" w:rsidRDefault="0013247C" w:rsidP="0013247C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阳性。</w:t>
      </w:r>
    </w:p>
    <w:p w:rsidR="0013247C" w:rsidRPr="0013247C" w:rsidRDefault="0013247C" w:rsidP="0013247C">
      <w:pPr>
        <w:spacing w:line="52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符合标准第1项或符合标准2-4项中的任意2项，又或符合标准5-9中的任意三项，同时提供一年来门诊或住院病史资料。</w:t>
      </w:r>
    </w:p>
    <w:p w:rsidR="0013247C" w:rsidRPr="0013247C" w:rsidRDefault="0013247C" w:rsidP="0013247C">
      <w:pPr>
        <w:spacing w:line="520" w:lineRule="exact"/>
        <w:ind w:left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6、椎间盘突出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诊断标准：                                                                                                                 （1）经系统性保守治疗后症状不能完全缓解；</w:t>
      </w:r>
    </w:p>
    <w:p w:rsidR="0013247C" w:rsidRPr="0013247C" w:rsidRDefault="0013247C" w:rsidP="0013247C">
      <w:pPr>
        <w:tabs>
          <w:tab w:val="left" w:pos="1342"/>
        </w:tabs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（2）临床有颈、肩、臂疼痛麻木或伴有上下肢肌力减</w:t>
      </w:r>
    </w:p>
    <w:p w:rsidR="0013247C" w:rsidRPr="0013247C" w:rsidRDefault="0013247C" w:rsidP="0013247C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 xml:space="preserve">弱，肩部活动障碍，皮肤感觉迟钝等症状；                                                  </w:t>
      </w:r>
    </w:p>
    <w:p w:rsidR="0013247C" w:rsidRPr="0013247C" w:rsidRDefault="0013247C" w:rsidP="0013247C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（3）临床表现为腿痛重于腰痛，腿痛呈典型的坐骨神经或股神经分布区域的疼痛，按神经分布区域的皮肤感觉麻木；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（4）直腿抬高试验和加强试验阳性；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（5）出现四种神经体征中的两种征象（肌肉萎缩，运</w:t>
      </w:r>
    </w:p>
    <w:p w:rsidR="0013247C" w:rsidRPr="0013247C" w:rsidRDefault="0013247C" w:rsidP="0013247C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动无力，感觉减退和反射减弱）；</w:t>
      </w:r>
    </w:p>
    <w:p w:rsidR="0013247C" w:rsidRPr="0013247C" w:rsidRDefault="0013247C" w:rsidP="0013247C">
      <w:pPr>
        <w:spacing w:line="520" w:lineRule="exact"/>
        <w:ind w:left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（6）影像学检查证实，包括椎管造影、CT 或 MRI 等。</w:t>
      </w:r>
    </w:p>
    <w:p w:rsidR="0013247C" w:rsidRPr="0013247C" w:rsidRDefault="0013247C" w:rsidP="0013247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符合标准1、2、6三项或符合标准1、6加上3-5项中</w:t>
      </w:r>
    </w:p>
    <w:p w:rsidR="0013247C" w:rsidRPr="0013247C" w:rsidRDefault="0013247C" w:rsidP="0013247C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sz w:val="32"/>
          <w:szCs w:val="32"/>
        </w:rPr>
        <w:t>任意两项，同时提供一年来门诊或住院病史资料。</w:t>
      </w:r>
    </w:p>
    <w:p w:rsidR="0013247C" w:rsidRPr="0013247C" w:rsidRDefault="0013247C" w:rsidP="0013247C">
      <w:pPr>
        <w:spacing w:line="520" w:lineRule="exact"/>
        <w:ind w:firstLineChars="200" w:firstLine="643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13247C">
        <w:rPr>
          <w:rFonts w:ascii="黑体" w:eastAsia="黑体" w:hAnsi="黑体" w:cs="黑体" w:hint="eastAsia"/>
          <w:b/>
          <w:bCs/>
          <w:sz w:val="32"/>
          <w:szCs w:val="32"/>
        </w:rPr>
        <w:t>二、门诊慢性病费用支付限额标准及报销比例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3930"/>
        <w:gridCol w:w="1695"/>
        <w:gridCol w:w="1380"/>
      </w:tblGrid>
      <w:tr w:rsidR="0013247C" w:rsidRPr="0013247C" w:rsidTr="00242D32">
        <w:trPr>
          <w:trHeight w:val="54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病种分类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病种名称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年支付限额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报销比例</w:t>
            </w:r>
          </w:p>
        </w:tc>
      </w:tr>
      <w:tr w:rsidR="0013247C" w:rsidRPr="0013247C" w:rsidTr="00242D32">
        <w:trPr>
          <w:trHeight w:val="540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白塞氏病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3500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按同等条件下住院比例报销</w:t>
            </w:r>
          </w:p>
        </w:tc>
      </w:tr>
      <w:tr w:rsidR="0013247C" w:rsidRPr="0013247C" w:rsidTr="00242D32">
        <w:trPr>
          <w:trHeight w:val="540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肾病综合征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3500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3247C" w:rsidRPr="0013247C" w:rsidTr="00242D32">
        <w:trPr>
          <w:trHeight w:val="540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心脏瓣膜置换术后维持治疗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3500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3247C" w:rsidRPr="0013247C" w:rsidTr="00242D32">
        <w:trPr>
          <w:trHeight w:val="540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银屑病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3500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3247C" w:rsidRPr="0013247C" w:rsidTr="00242D32">
        <w:trPr>
          <w:trHeight w:val="540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硬皮病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3500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3247C" w:rsidRPr="0013247C" w:rsidTr="00242D32">
        <w:trPr>
          <w:trHeight w:val="540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spacing w:line="52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椎间盘突出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 w:rsidRPr="0013247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3500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3247C" w:rsidRPr="0013247C" w:rsidRDefault="0013247C" w:rsidP="0013247C">
            <w:pPr>
              <w:spacing w:line="5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13247C" w:rsidRPr="0013247C" w:rsidRDefault="0013247C" w:rsidP="0013247C">
      <w:pPr>
        <w:spacing w:line="520" w:lineRule="exact"/>
        <w:ind w:firstLineChars="200" w:firstLine="643"/>
        <w:rPr>
          <w:rFonts w:ascii="黑体" w:eastAsia="黑体" w:hAnsi="黑体" w:cs="黑体" w:hint="eastAsia"/>
          <w:bCs/>
          <w:kern w:val="0"/>
          <w:sz w:val="32"/>
          <w:szCs w:val="32"/>
        </w:rPr>
      </w:pPr>
      <w:r w:rsidRPr="0013247C">
        <w:rPr>
          <w:rFonts w:ascii="黑体" w:eastAsia="黑体" w:hAnsi="黑体" w:cs="黑体" w:hint="eastAsia"/>
          <w:b/>
          <w:bCs/>
          <w:sz w:val="32"/>
          <w:szCs w:val="32"/>
        </w:rPr>
        <w:t>三、部分病种待遇享受时间规定</w:t>
      </w:r>
    </w:p>
    <w:p w:rsidR="0013247C" w:rsidRPr="0013247C" w:rsidRDefault="0013247C" w:rsidP="0013247C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13247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对心脏瓣膜置换术后维持治疗等</w:t>
      </w:r>
      <w:r w:rsidRPr="0013247C">
        <w:rPr>
          <w:rFonts w:ascii="仿宋_GB2312" w:eastAsia="仿宋_GB2312" w:hAnsi="仿宋_GB2312" w:cs="仿宋_GB2312" w:hint="eastAsia"/>
          <w:sz w:val="32"/>
          <w:szCs w:val="32"/>
        </w:rPr>
        <w:t>《芜湖市城乡居民基本医疗保险门诊慢性病准入标准（暂行）》（芜医保〔2019〕81号）第二条第一款规定的病种，待遇享受时间按该文件执行。</w:t>
      </w:r>
    </w:p>
    <w:p w:rsidR="002E2EDF" w:rsidRPr="0013247C" w:rsidRDefault="0013247C" w:rsidP="0013247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3247C">
        <w:rPr>
          <w:rFonts w:ascii="黑体" w:eastAsia="黑体" w:hAnsi="黑体" w:cs="黑体" w:hint="eastAsia"/>
          <w:b/>
          <w:bCs/>
          <w:sz w:val="32"/>
          <w:szCs w:val="32"/>
        </w:rPr>
        <w:t>四、本通知新增门诊慢性病病种自2021年1月1日起执行。</w:t>
      </w:r>
      <w:bookmarkStart w:id="0" w:name="_GoBack"/>
      <w:bookmarkEnd w:id="0"/>
    </w:p>
    <w:sectPr w:rsidR="002E2EDF" w:rsidRPr="00132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A4" w:rsidRDefault="00287FA4" w:rsidP="0013247C">
      <w:r>
        <w:separator/>
      </w:r>
    </w:p>
  </w:endnote>
  <w:endnote w:type="continuationSeparator" w:id="0">
    <w:p w:rsidR="00287FA4" w:rsidRDefault="00287FA4" w:rsidP="0013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A4" w:rsidRDefault="00287FA4" w:rsidP="0013247C">
      <w:r>
        <w:separator/>
      </w:r>
    </w:p>
  </w:footnote>
  <w:footnote w:type="continuationSeparator" w:id="0">
    <w:p w:rsidR="00287FA4" w:rsidRDefault="00287FA4" w:rsidP="0013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B"/>
    <w:rsid w:val="0013247C"/>
    <w:rsid w:val="00287FA4"/>
    <w:rsid w:val="002E2EDF"/>
    <w:rsid w:val="0053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C9ED"/>
  <w15:chartTrackingRefBased/>
  <w15:docId w15:val="{AA9E8A8B-5FB6-4E48-9F24-3B29DE1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962</Characters>
  <Application>Microsoft Office Word</Application>
  <DocSecurity>0</DocSecurity>
  <Lines>80</Lines>
  <Paragraphs>89</Paragraphs>
  <ScaleCrop>false</ScaleCrop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2021-01-13T07:13:00Z</dcterms:created>
  <dcterms:modified xsi:type="dcterms:W3CDTF">2021-01-13T07:14:00Z</dcterms:modified>
</cp:coreProperties>
</file>